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501516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La</w:t>
      </w:r>
      <w:r w:rsidR="0048249A" w:rsidRPr="009C6FAC">
        <w:rPr>
          <w:rFonts w:ascii="Garamond" w:hAnsi="Garamond"/>
        </w:rPr>
        <w:t xml:space="preserve"> data di svolgimento della rilevazione </w:t>
      </w:r>
      <w:r>
        <w:rPr>
          <w:rFonts w:ascii="Garamond" w:hAnsi="Garamond"/>
        </w:rPr>
        <w:t>è il</w:t>
      </w:r>
      <w:r w:rsidR="0048249A" w:rsidRPr="009C6FAC">
        <w:rPr>
          <w:rFonts w:ascii="Garamond" w:hAnsi="Garamond"/>
        </w:rPr>
        <w:t xml:space="preserve"> </w:t>
      </w:r>
      <w:r w:rsidRPr="00501516">
        <w:rPr>
          <w:rFonts w:ascii="Garamond" w:hAnsi="Garamond"/>
          <w:color w:val="1F497D" w:themeColor="text2"/>
        </w:rPr>
        <w:t>11</w:t>
      </w:r>
      <w:r w:rsidR="0048249A" w:rsidRPr="00501516">
        <w:rPr>
          <w:rFonts w:ascii="Garamond" w:hAnsi="Garamond"/>
          <w:color w:val="1F497D" w:themeColor="text2"/>
        </w:rPr>
        <w:t>/</w:t>
      </w:r>
      <w:r w:rsidRPr="00501516">
        <w:rPr>
          <w:rFonts w:ascii="Garamond" w:hAnsi="Garamond"/>
          <w:color w:val="1F497D" w:themeColor="text2"/>
        </w:rPr>
        <w:t>04</w:t>
      </w:r>
      <w:r w:rsidR="0048249A" w:rsidRPr="00501516">
        <w:rPr>
          <w:rFonts w:ascii="Garamond" w:hAnsi="Garamond"/>
          <w:color w:val="1F497D" w:themeColor="text2"/>
        </w:rPr>
        <w:t>/</w:t>
      </w:r>
      <w:r w:rsidRPr="00501516">
        <w:rPr>
          <w:rFonts w:ascii="Garamond" w:hAnsi="Garamond"/>
          <w:color w:val="1F497D" w:themeColor="text2"/>
        </w:rPr>
        <w:t>2019</w:t>
      </w:r>
      <w:r w:rsidR="0048249A" w:rsidRPr="009C6FAC">
        <w:rPr>
          <w:rFonts w:ascii="Garamond" w:hAnsi="Garamond"/>
        </w:rPr>
        <w:t>.</w:t>
      </w:r>
    </w:p>
    <w:p w:rsidR="00C27B23" w:rsidRPr="00501516" w:rsidRDefault="00501516">
      <w:pPr>
        <w:pStyle w:val="Paragrafoelenco"/>
        <w:spacing w:line="276" w:lineRule="auto"/>
        <w:ind w:left="0" w:firstLine="0"/>
        <w:rPr>
          <w:rFonts w:ascii="Garamond" w:hAnsi="Garamond"/>
          <w:color w:val="1F497D" w:themeColor="text2"/>
        </w:rPr>
      </w:pPr>
      <w:r>
        <w:rPr>
          <w:rFonts w:ascii="Garamond" w:hAnsi="Garamond"/>
        </w:rPr>
        <w:t xml:space="preserve">Le rilevazione a valenza </w:t>
      </w:r>
      <w:r w:rsidRPr="00501516">
        <w:rPr>
          <w:rFonts w:ascii="Garamond" w:hAnsi="Garamond"/>
          <w:b/>
        </w:rPr>
        <w:t>annuale</w:t>
      </w:r>
      <w:r>
        <w:rPr>
          <w:rFonts w:ascii="Garamond" w:hAnsi="Garamond"/>
        </w:rPr>
        <w:t xml:space="preserve"> si riferiscono al periodo </w:t>
      </w:r>
      <w:r w:rsidRPr="00501516">
        <w:rPr>
          <w:rFonts w:ascii="Garamond" w:hAnsi="Garamond"/>
          <w:color w:val="1F497D" w:themeColor="text2"/>
        </w:rPr>
        <w:t>01/01/2018-31/12/2018.</w:t>
      </w:r>
    </w:p>
    <w:p w:rsidR="00501516" w:rsidRDefault="00501516" w:rsidP="00501516">
      <w:pPr>
        <w:pStyle w:val="Paragrafoelenco"/>
        <w:spacing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 xml:space="preserve">Le rilevazione a valenza </w:t>
      </w:r>
      <w:r w:rsidRPr="00501516">
        <w:rPr>
          <w:rFonts w:ascii="Garamond" w:hAnsi="Garamond"/>
          <w:b/>
        </w:rPr>
        <w:t>trimestrale</w:t>
      </w:r>
      <w:r>
        <w:rPr>
          <w:rFonts w:ascii="Garamond" w:hAnsi="Garamond"/>
        </w:rPr>
        <w:t xml:space="preserve"> si riferiscono al periodo </w:t>
      </w:r>
      <w:r w:rsidRPr="00501516">
        <w:rPr>
          <w:rFonts w:ascii="Garamond" w:hAnsi="Garamond"/>
          <w:color w:val="1F497D" w:themeColor="text2"/>
        </w:rPr>
        <w:t>01/0</w:t>
      </w:r>
      <w:r w:rsidRPr="00501516">
        <w:rPr>
          <w:rFonts w:ascii="Garamond" w:hAnsi="Garamond"/>
          <w:color w:val="1F497D" w:themeColor="text2"/>
        </w:rPr>
        <w:t>1</w:t>
      </w:r>
      <w:r w:rsidRPr="00501516">
        <w:rPr>
          <w:rFonts w:ascii="Garamond" w:hAnsi="Garamond"/>
          <w:color w:val="1F497D" w:themeColor="text2"/>
        </w:rPr>
        <w:t>/201</w:t>
      </w:r>
      <w:r w:rsidRPr="00501516">
        <w:rPr>
          <w:rFonts w:ascii="Garamond" w:hAnsi="Garamond"/>
          <w:color w:val="1F497D" w:themeColor="text2"/>
        </w:rPr>
        <w:t>9</w:t>
      </w:r>
      <w:r w:rsidRPr="00501516">
        <w:rPr>
          <w:rFonts w:ascii="Garamond" w:hAnsi="Garamond"/>
          <w:color w:val="1F497D" w:themeColor="text2"/>
        </w:rPr>
        <w:t>-31/</w:t>
      </w:r>
      <w:r w:rsidRPr="00501516">
        <w:rPr>
          <w:rFonts w:ascii="Garamond" w:hAnsi="Garamond"/>
          <w:color w:val="1F497D" w:themeColor="text2"/>
        </w:rPr>
        <w:t>03</w:t>
      </w:r>
      <w:r w:rsidRPr="00501516">
        <w:rPr>
          <w:rFonts w:ascii="Garamond" w:hAnsi="Garamond"/>
          <w:color w:val="1F497D" w:themeColor="text2"/>
        </w:rPr>
        <w:t>/201</w:t>
      </w:r>
      <w:r w:rsidRPr="00501516">
        <w:rPr>
          <w:rFonts w:ascii="Garamond" w:hAnsi="Garamond"/>
          <w:color w:val="1F497D" w:themeColor="text2"/>
        </w:rPr>
        <w:t>9</w:t>
      </w:r>
      <w:r w:rsidRPr="00501516">
        <w:rPr>
          <w:rFonts w:ascii="Garamond" w:hAnsi="Garamond"/>
          <w:color w:val="1F497D" w:themeColor="text2"/>
        </w:rPr>
        <w:t>.</w:t>
      </w:r>
    </w:p>
    <w:p w:rsidR="00501516" w:rsidRPr="009C6FAC" w:rsidRDefault="00501516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  <w:r w:rsidR="00501516">
        <w:rPr>
          <w:rFonts w:ascii="Garamond" w:hAnsi="Garamond"/>
          <w:b/>
          <w:i/>
        </w:rPr>
        <w:t xml:space="preserve">: </w:t>
      </w:r>
      <w:r w:rsidR="00501516" w:rsidRPr="00501516">
        <w:rPr>
          <w:rFonts w:ascii="Garamond" w:hAnsi="Garamond"/>
          <w:b/>
          <w:i/>
          <w:color w:val="1F497D" w:themeColor="text2"/>
        </w:rPr>
        <w:t>L’Ordine degli Avvocati di Monza e la Fondazione Forense di Monza non hanno alcun ufficio periferico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Pr="009C6FAC" w:rsidRDefault="0048249A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numero complessivo degli uffici periferici esistenti</w:t>
      </w:r>
      <w:r w:rsidR="00713BFD">
        <w:rPr>
          <w:rFonts w:ascii="Garamond" w:hAnsi="Garamond"/>
        </w:rPr>
        <w:t xml:space="preserve"> e, se diverse, le tipologie di uffici periferici</w:t>
      </w:r>
      <w:r w:rsidRPr="009C6FAC">
        <w:rPr>
          <w:rFonts w:ascii="Garamond" w:hAnsi="Garamond"/>
        </w:rPr>
        <w:t>.</w:t>
      </w:r>
    </w:p>
    <w:p w:rsidR="00C27B23" w:rsidRPr="007A107C" w:rsidRDefault="0048249A" w:rsidP="00713BFD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Per la formazione del campione di uffici periferici su cui effettuare la rilevazione, indicare</w:t>
      </w:r>
      <w:r w:rsidR="00713BFD">
        <w:rPr>
          <w:rFonts w:ascii="Garamond" w:hAnsi="Garamond"/>
        </w:rPr>
        <w:t xml:space="preserve"> </w:t>
      </w:r>
      <w:r w:rsidRPr="007A107C">
        <w:rPr>
          <w:rFonts w:ascii="Garamond" w:hAnsi="Garamond"/>
        </w:rPr>
        <w:t>il criterio di selezione del campione</w:t>
      </w:r>
      <w:r w:rsidR="00713BFD">
        <w:rPr>
          <w:rFonts w:ascii="Garamond" w:hAnsi="Garamond"/>
        </w:rPr>
        <w:t>.</w:t>
      </w:r>
    </w:p>
    <w:p w:rsidR="00C27B23" w:rsidRPr="00713BFD" w:rsidRDefault="00713BFD" w:rsidP="00713BFD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Riportare </w:t>
      </w:r>
      <w:r w:rsidR="0048249A" w:rsidRPr="00713BFD">
        <w:rPr>
          <w:rFonts w:ascii="Garamond" w:hAnsi="Garamond"/>
        </w:rPr>
        <w:t>l’elenco degli uffici periferici</w:t>
      </w:r>
      <w:r>
        <w:rPr>
          <w:rFonts w:ascii="Garamond" w:hAnsi="Garamond"/>
        </w:rPr>
        <w:t xml:space="preserve"> selezionati</w:t>
      </w:r>
      <w:r w:rsidR="008A0378" w:rsidRPr="00713BFD">
        <w:rPr>
          <w:rFonts w:ascii="Garamond" w:hAnsi="Garamond"/>
        </w:rPr>
        <w:t>.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501516" w:rsidP="007A107C">
      <w:pPr>
        <w:pStyle w:val="Defaul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Si indicano di seguito le modalità seguite per condurre la rilevazione:</w:t>
      </w:r>
      <w:r w:rsidR="0048249A" w:rsidRPr="009C6FAC">
        <w:rPr>
          <w:rFonts w:ascii="Garamond" w:hAnsi="Garamond"/>
        </w:rPr>
        <w:t>: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</w:t>
      </w:r>
      <w:r w:rsidR="00713BFD">
        <w:rPr>
          <w:rFonts w:ascii="Garamond" w:hAnsi="Garamond"/>
        </w:rPr>
        <w:t>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trasmissione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pubblicazione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Default="00501516">
      <w:pPr>
        <w:spacing w:line="360" w:lineRule="auto"/>
        <w:rPr>
          <w:rFonts w:ascii="Garamond" w:hAnsi="Garamond"/>
        </w:rPr>
      </w:pPr>
      <w:r w:rsidRPr="00501516">
        <w:rPr>
          <w:rFonts w:ascii="Garamond" w:hAnsi="Garamond"/>
        </w:rPr>
        <w:t xml:space="preserve">La maggiore criticità incontrata riguarda </w:t>
      </w:r>
      <w:r>
        <w:rPr>
          <w:rFonts w:ascii="Garamond" w:hAnsi="Garamond"/>
        </w:rPr>
        <w:t>il calcolo dell’indicatore dei tempi medi di pagamento relativi ai fornitori. Sin ora infatti l’ente non aveva calcolato un vero e proprio indice matematico ma aveva riportato la tendenza media dell’amministrazione a pagare i fornitori a breve, a pochi giorni e comunque non oltre i 30 giorni dal ricevimento della fattura.</w:t>
      </w:r>
    </w:p>
    <w:p w:rsidR="000E227C" w:rsidRDefault="0050151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L’amministrazione tiene dal 2017 un elenco completo dei pagamenti che pubblica sul sito istituzionale nella relativa sezione AMMINISTRAZIONE TRASPARENTE/PAGAMENTI DELL’AMMINISTRAZIONE, riportante la data </w:t>
      </w:r>
      <w:r w:rsidR="000E227C">
        <w:rPr>
          <w:rFonts w:ascii="Garamond" w:hAnsi="Garamond"/>
        </w:rPr>
        <w:t>del pagamento ma non la data di ricezione della fattura. Tale mancanza non rende possibile il calcolo dell’indicatore dei tempi medi di pagamento.</w:t>
      </w:r>
    </w:p>
    <w:p w:rsidR="00501516" w:rsidRDefault="000E227C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Si è dunque stabilito che a far data dal 01/01/2019 venisse riportata anche la data di ricezione/emissione della fattura nel suddetto elenco. Su base trimestrale è stato dunque possibile calcolare l’indicatore richiesto.</w:t>
      </w:r>
    </w:p>
    <w:p w:rsidR="000E227C" w:rsidRPr="00501516" w:rsidRDefault="000E227C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Altra area di criticità si è riscontrata nella valutazione di </w:t>
      </w:r>
      <w:r w:rsidRPr="000E227C">
        <w:rPr>
          <w:rFonts w:ascii="Garamond" w:hAnsi="Garamond"/>
        </w:rPr>
        <w:t>pubblicazione</w:t>
      </w:r>
      <w:r>
        <w:rPr>
          <w:rFonts w:ascii="Garamond" w:hAnsi="Garamond"/>
        </w:rPr>
        <w:t xml:space="preserve">, </w:t>
      </w:r>
      <w:r w:rsidRPr="000E227C">
        <w:rPr>
          <w:rFonts w:ascii="Garamond" w:hAnsi="Garamond"/>
        </w:rPr>
        <w:t>completezza del contenuto</w:t>
      </w:r>
      <w:r>
        <w:rPr>
          <w:rFonts w:ascii="Garamond" w:hAnsi="Garamond"/>
        </w:rPr>
        <w:t xml:space="preserve">, </w:t>
      </w:r>
      <w:r w:rsidRPr="000E227C">
        <w:rPr>
          <w:rFonts w:ascii="Garamond" w:hAnsi="Garamond"/>
        </w:rPr>
        <w:t>completezza rispetto agli uffici</w:t>
      </w:r>
      <w:r>
        <w:rPr>
          <w:rFonts w:ascii="Garamond" w:hAnsi="Garamond"/>
        </w:rPr>
        <w:t xml:space="preserve">, </w:t>
      </w:r>
      <w:r w:rsidRPr="000E227C">
        <w:rPr>
          <w:rFonts w:ascii="Garamond" w:hAnsi="Garamond"/>
        </w:rPr>
        <w:t>aggiornamento</w:t>
      </w:r>
      <w:r>
        <w:rPr>
          <w:rFonts w:ascii="Garamond" w:hAnsi="Garamond"/>
        </w:rPr>
        <w:t xml:space="preserve">, </w:t>
      </w:r>
      <w:r w:rsidRPr="000E227C">
        <w:rPr>
          <w:rFonts w:ascii="Garamond" w:hAnsi="Garamond"/>
        </w:rPr>
        <w:t>apertura formato</w:t>
      </w:r>
      <w:r>
        <w:rPr>
          <w:rFonts w:ascii="Garamond" w:hAnsi="Garamond"/>
        </w:rPr>
        <w:t xml:space="preserve"> dei </w:t>
      </w:r>
      <w:r w:rsidRPr="000E227C">
        <w:rPr>
          <w:rFonts w:ascii="Garamond" w:hAnsi="Garamond"/>
        </w:rPr>
        <w:t>Provvedimenti organi indirizzo politico</w:t>
      </w:r>
      <w:r>
        <w:rPr>
          <w:rFonts w:ascii="Garamond" w:hAnsi="Garamond"/>
        </w:rPr>
        <w:t xml:space="preserve"> in quanto sino ad oragli stessi non sono mai stati pubblicati. RPC ha concordato di confrontarsi a riguardo con il Segretario entro il 31.12.2019</w:t>
      </w:r>
      <w:bookmarkStart w:id="0" w:name="_GoBack"/>
      <w:bookmarkEnd w:id="0"/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sectPr w:rsidR="00C27B23" w:rsidRPr="009C6FAC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6A" w:rsidRDefault="0060106A">
      <w:pPr>
        <w:spacing w:after="0" w:line="240" w:lineRule="auto"/>
      </w:pPr>
      <w:r>
        <w:separator/>
      </w:r>
    </w:p>
  </w:endnote>
  <w:endnote w:type="continuationSeparator" w:id="0">
    <w:p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 xml:space="preserve">delibera n. </w:t>
    </w:r>
    <w:r w:rsidR="002C572E" w:rsidRPr="006E496C">
      <w:rPr>
        <w:rFonts w:ascii="Garamond" w:hAnsi="Garamond" w:cs="Times New Roman"/>
        <w:b/>
      </w:rPr>
      <w:t>141</w:t>
    </w:r>
    <w:r w:rsidRPr="006E496C">
      <w:rPr>
        <w:rFonts w:ascii="Garamond" w:hAnsi="Garamond" w:cs="Times New Roman"/>
        <w:b/>
      </w:rPr>
      <w:t>/201</w:t>
    </w:r>
    <w:r w:rsidR="00FC7906" w:rsidRPr="006E496C">
      <w:rPr>
        <w:rFonts w:ascii="Garamond" w:hAnsi="Garamond" w:cs="Times New Roman"/>
        <w:b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3"/>
    <w:rsid w:val="000E227C"/>
    <w:rsid w:val="0016468A"/>
    <w:rsid w:val="0024134D"/>
    <w:rsid w:val="002C572E"/>
    <w:rsid w:val="003E1CF5"/>
    <w:rsid w:val="0048249A"/>
    <w:rsid w:val="004F18CD"/>
    <w:rsid w:val="00501516"/>
    <w:rsid w:val="0060106A"/>
    <w:rsid w:val="006E496C"/>
    <w:rsid w:val="007052EA"/>
    <w:rsid w:val="00713BFD"/>
    <w:rsid w:val="007A107C"/>
    <w:rsid w:val="00837860"/>
    <w:rsid w:val="00861FE1"/>
    <w:rsid w:val="008A0378"/>
    <w:rsid w:val="00955140"/>
    <w:rsid w:val="009A5646"/>
    <w:rsid w:val="009C6FAC"/>
    <w:rsid w:val="00A52DF7"/>
    <w:rsid w:val="00AF790D"/>
    <w:rsid w:val="00B35349"/>
    <w:rsid w:val="00C27B23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Hewlett-Packard Company</cp:lastModifiedBy>
  <cp:revision>3</cp:revision>
  <cp:lastPrinted>2018-02-28T15:30:00Z</cp:lastPrinted>
  <dcterms:created xsi:type="dcterms:W3CDTF">2019-04-17T10:39:00Z</dcterms:created>
  <dcterms:modified xsi:type="dcterms:W3CDTF">2019-04-17T10:57:00Z</dcterms:modified>
</cp:coreProperties>
</file>